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7" w:rsidRPr="005E4F76" w:rsidRDefault="00005027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5E4F76">
        <w:rPr>
          <w:rFonts w:ascii="Times New Roman" w:hAnsi="Times New Roman" w:cs="Times New Roman"/>
          <w:b/>
          <w:szCs w:val="20"/>
        </w:rPr>
        <w:t>Supplementary Material</w:t>
      </w:r>
    </w:p>
    <w:p w:rsidR="00005027" w:rsidRPr="005E4F76" w:rsidRDefault="00005027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0FB0" w:rsidRDefault="00005027" w:rsidP="003F0FB0">
      <w:pPr>
        <w:tabs>
          <w:tab w:val="left" w:pos="873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83250" cy="4753577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98" cy="47593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FB0" w:rsidRDefault="003F0FB0" w:rsidP="003F0FB0">
      <w:pPr>
        <w:tabs>
          <w:tab w:val="left" w:pos="873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027" w:rsidRPr="005E4F76" w:rsidRDefault="00005027" w:rsidP="003F0FB0">
      <w:pPr>
        <w:tabs>
          <w:tab w:val="left" w:pos="873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FB0">
        <w:rPr>
          <w:rFonts w:ascii="Times New Roman" w:hAnsi="Times New Roman" w:cs="Times New Roman"/>
          <w:b/>
          <w:sz w:val="20"/>
          <w:szCs w:val="20"/>
        </w:rPr>
        <w:t>Figure 1</w:t>
      </w:r>
      <w:r w:rsidR="003F0FB0">
        <w:rPr>
          <w:rFonts w:ascii="Times New Roman" w:hAnsi="Times New Roman" w:cs="Times New Roman"/>
          <w:sz w:val="20"/>
          <w:szCs w:val="20"/>
        </w:rPr>
        <w:t>:</w:t>
      </w:r>
      <w:r w:rsidRPr="005E4F76">
        <w:rPr>
          <w:rFonts w:ascii="Times New Roman" w:hAnsi="Times New Roman" w:cs="Times New Roman"/>
          <w:sz w:val="20"/>
          <w:szCs w:val="20"/>
        </w:rPr>
        <w:t xml:space="preserve"> The chromatography of spearmint essential oil analyzed by GC-MS</w:t>
      </w:r>
      <w:r w:rsidR="003F0FB0">
        <w:rPr>
          <w:rFonts w:ascii="Times New Roman" w:hAnsi="Times New Roman" w:cs="Times New Roman"/>
          <w:sz w:val="20"/>
          <w:szCs w:val="20"/>
        </w:rPr>
        <w:t>.</w:t>
      </w:r>
    </w:p>
    <w:p w:rsidR="00005027" w:rsidRPr="005E4F76" w:rsidRDefault="00005027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7" w:rsidRPr="005E4F76" w:rsidRDefault="00005027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027" w:rsidRPr="005E4F76" w:rsidRDefault="00005027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7325"/>
      </w:tblGrid>
      <w:tr w:rsidR="00E9558D" w:rsidRPr="005E4F76" w:rsidTr="00175DB7">
        <w:trPr>
          <w:trHeight w:val="300"/>
        </w:trPr>
        <w:tc>
          <w:tcPr>
            <w:tcW w:w="1818" w:type="dxa"/>
            <w:hideMark/>
          </w:tcPr>
          <w:p w:rsidR="00E9558D" w:rsidRPr="005E4F76" w:rsidRDefault="00E9558D" w:rsidP="00CF023C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Readout</w:t>
            </w:r>
          </w:p>
        </w:tc>
        <w:tc>
          <w:tcPr>
            <w:tcW w:w="7325" w:type="dxa"/>
            <w:hideMark/>
          </w:tcPr>
          <w:p w:rsidR="00E9558D" w:rsidRPr="005E4F76" w:rsidRDefault="00E9558D" w:rsidP="00CF023C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E9558D" w:rsidRPr="005E4F76" w:rsidTr="00175DB7">
        <w:trPr>
          <w:trHeight w:val="12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CCL2/MCP-1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MCP-1 system is a chemokine that mediates recruitment of monocytes and T cel</w:t>
            </w:r>
            <w:r w:rsidR="00F96305">
              <w:rPr>
                <w:rFonts w:ascii="Times New Roman" w:hAnsi="Times New Roman" w:cs="Times New Roman"/>
                <w:sz w:val="20"/>
                <w:szCs w:val="20"/>
              </w:rPr>
              <w:t xml:space="preserve">ls into sites of inflammation.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MCP-1 is categorized as an </w:t>
            </w:r>
            <w:r w:rsidR="00F96305">
              <w:rPr>
                <w:rFonts w:ascii="Times New Roman" w:hAnsi="Times New Roman" w:cs="Times New Roman"/>
                <w:sz w:val="20"/>
                <w:szCs w:val="20"/>
              </w:rPr>
              <w:t xml:space="preserve">inflammation </w:t>
            </w:r>
            <w:r w:rsidRPr="00F96305">
              <w:rPr>
                <w:rFonts w:ascii="Times New Roman" w:hAnsi="Times New Roman" w:cs="Times New Roman"/>
                <w:sz w:val="20"/>
                <w:szCs w:val="20"/>
              </w:rPr>
              <w:t>related activity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in the HDF3CGF system modeling Th1 inflammation involved in wound healing and matrix remodeling.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CD106/VCAM-1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VCAM-1 is a cell adhesion molecule that mediates adhesion of monocytes and </w:t>
            </w:r>
            <w:r w:rsidR="00F775A9">
              <w:rPr>
                <w:rFonts w:ascii="Times New Roman" w:hAnsi="Times New Roman" w:cs="Times New Roman"/>
                <w:sz w:val="20"/>
                <w:szCs w:val="20"/>
              </w:rPr>
              <w:t xml:space="preserve">T cells to endothelial cells.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VCAM-1 is categorized as an </w:t>
            </w:r>
            <w:r w:rsidRPr="00F775A9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CD54/ICAM-1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ICAM-1 is a cell adhesion molecule that mediates leukocyte-endothelial cell adhesion and leukocyte recruitment.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ICAM-1 is categorized as an</w:t>
            </w:r>
            <w:r w:rsidR="004D1C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A01F1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12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Collagen I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Collagen I is involved in tissue remodeling and fibrosis, and is the most common fibrillar collagen that is found in skin, bone, tendons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 xml:space="preserve"> and other connective tissues.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Collagen I is categorized as </w:t>
            </w:r>
            <w:r w:rsidRPr="00DB77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B7758" w:rsidRPr="00DB7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EBE">
              <w:rPr>
                <w:rFonts w:ascii="Times New Roman" w:hAnsi="Times New Roman" w:cs="Times New Roman"/>
                <w:sz w:val="20"/>
                <w:szCs w:val="20"/>
              </w:rPr>
              <w:t>tissue remodeling-related activity.</w:t>
            </w:r>
          </w:p>
        </w:tc>
      </w:tr>
      <w:tr w:rsidR="00E9558D" w:rsidRPr="005E4F76" w:rsidTr="00175DB7">
        <w:trPr>
          <w:trHeight w:val="12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Collagen III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Collagen III is an extracellular matrix protein and fibrillar collagen found in extensible connective tissues (skin, lung and vascular system) and is involved in cell adhesion, cell</w:t>
            </w:r>
            <w:r w:rsidR="006D29DC">
              <w:rPr>
                <w:rFonts w:ascii="Times New Roman" w:hAnsi="Times New Roman" w:cs="Times New Roman"/>
                <w:sz w:val="20"/>
                <w:szCs w:val="20"/>
              </w:rPr>
              <w:t xml:space="preserve"> migration, tissue remodeling.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Collagen III is categorized as a </w:t>
            </w:r>
            <w:r w:rsidRPr="002004E5">
              <w:rPr>
                <w:rFonts w:ascii="Times New Roman" w:hAnsi="Times New Roman" w:cs="Times New Roman"/>
                <w:sz w:val="20"/>
                <w:szCs w:val="20"/>
              </w:rPr>
              <w:t>tissue remodeling-related activity.</w:t>
            </w:r>
          </w:p>
        </w:tc>
      </w:tr>
      <w:tr w:rsidR="00E9558D" w:rsidRPr="005E4F76" w:rsidTr="00175DB7">
        <w:trPr>
          <w:trHeight w:val="600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CXCL10/IP-10 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IP-10 is a chemokine that mediates T cell, monocyte and dendritic cell chemotaxis.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IP-10 is categorized as an </w:t>
            </w:r>
            <w:r w:rsidRPr="00C2583C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600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CXCL11/I-TAC 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I-TAC is a chemokine that mediates T </w:t>
            </w:r>
            <w:r w:rsidR="001C139A">
              <w:rPr>
                <w:rFonts w:ascii="Times New Roman" w:hAnsi="Times New Roman" w:cs="Times New Roman"/>
                <w:sz w:val="20"/>
                <w:szCs w:val="20"/>
              </w:rPr>
              <w:t xml:space="preserve">cell and monocyte chemotaxis.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I-TAC is categorized as an </w:t>
            </w:r>
            <w:r w:rsidRPr="00B643BB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600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CXCL8/IL-8 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IL-8 is a chemokine that mediates neutrophil recruitment into acute inflammatory sites.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IL-8 is categorized as an </w:t>
            </w:r>
            <w:r w:rsidRPr="00455BDD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600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CXCL9/MIG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MIG is a chemokine tha</w:t>
            </w:r>
            <w:r w:rsidR="00384607">
              <w:rPr>
                <w:rFonts w:ascii="Times New Roman" w:hAnsi="Times New Roman" w:cs="Times New Roman"/>
                <w:sz w:val="20"/>
                <w:szCs w:val="20"/>
              </w:rPr>
              <w:t xml:space="preserve">t mediates T cell recruitment.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MIG is categorized as an </w:t>
            </w:r>
            <w:r w:rsidRPr="003F3ECC">
              <w:rPr>
                <w:rFonts w:ascii="Times New Roman" w:hAnsi="Times New Roman" w:cs="Times New Roman"/>
                <w:sz w:val="20"/>
                <w:szCs w:val="20"/>
              </w:rPr>
              <w:t>inflammation-related activity.</w:t>
            </w:r>
          </w:p>
        </w:tc>
      </w:tr>
      <w:tr w:rsidR="00E9558D" w:rsidRPr="005E4F76" w:rsidTr="00175DB7">
        <w:trPr>
          <w:trHeight w:val="1502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EGFR</w:t>
            </w:r>
          </w:p>
        </w:tc>
        <w:tc>
          <w:tcPr>
            <w:tcW w:w="7325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EGFR is a cell surface receptor for epidermal growth factor involved in cell proliferation during develo</w:t>
            </w:r>
            <w:r w:rsidR="009724C8">
              <w:rPr>
                <w:rFonts w:ascii="Times New Roman" w:hAnsi="Times New Roman" w:cs="Times New Roman"/>
                <w:sz w:val="20"/>
                <w:szCs w:val="20"/>
              </w:rPr>
              <w:t xml:space="preserve">pment as well as tumor growth.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EGFR is involved in Epithelial cell proliferation, epithelial cell differentiation keratinocyte proliferation, tissue remodeling.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EGFR is categorized as a</w:t>
            </w:r>
            <w:r w:rsidRPr="00CF3E05">
              <w:rPr>
                <w:rFonts w:ascii="Times New Roman" w:hAnsi="Times New Roman" w:cs="Times New Roman"/>
                <w:sz w:val="20"/>
                <w:szCs w:val="20"/>
              </w:rPr>
              <w:t xml:space="preserve"> tissue remodeling-related activity.</w:t>
            </w:r>
          </w:p>
        </w:tc>
      </w:tr>
      <w:tr w:rsidR="00E9558D" w:rsidRPr="005E4F76" w:rsidTr="00175DB7">
        <w:trPr>
          <w:trHeight w:val="600"/>
        </w:trPr>
        <w:tc>
          <w:tcPr>
            <w:tcW w:w="1818" w:type="dxa"/>
            <w:hideMark/>
          </w:tcPr>
          <w:p w:rsidR="00E9558D" w:rsidRPr="005E4F76" w:rsidRDefault="00ED057A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</w:t>
            </w:r>
            <w:r w:rsidR="00E9558D"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CSF </w:t>
            </w:r>
          </w:p>
        </w:tc>
        <w:tc>
          <w:tcPr>
            <w:tcW w:w="7325" w:type="dxa"/>
            <w:hideMark/>
          </w:tcPr>
          <w:p w:rsidR="00E9558D" w:rsidRPr="00E31088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M-CSF is a secreted and cell surface cytokine that mediates macrophage differentiation.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2E0" w:rsidRPr="00E31088">
              <w:rPr>
                <w:rFonts w:ascii="Times New Roman" w:hAnsi="Times New Roman" w:cs="Times New Roman"/>
                <w:sz w:val="20"/>
                <w:szCs w:val="20"/>
              </w:rPr>
              <w:t>M-CSF</w:t>
            </w: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 xml:space="preserve"> is categorized as a</w:t>
            </w:r>
            <w:r w:rsidR="00FB26BF" w:rsidRPr="00E31088">
              <w:rPr>
                <w:rFonts w:ascii="Times New Roman" w:hAnsi="Times New Roman" w:cs="Times New Roman"/>
                <w:sz w:val="20"/>
                <w:szCs w:val="20"/>
              </w:rPr>
              <w:t>nimmune modulation</w:t>
            </w: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-related activity.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MMP-1 </w:t>
            </w:r>
          </w:p>
        </w:tc>
        <w:tc>
          <w:tcPr>
            <w:tcW w:w="7325" w:type="dxa"/>
            <w:hideMark/>
          </w:tcPr>
          <w:p w:rsidR="00E9558D" w:rsidRPr="00E31088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MMP-1 is an interstitial collagenase that degrades collagens I, II and III and is involved in the process of tissue remodeling.</w:t>
            </w:r>
            <w:r w:rsidR="0016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MMP-1 is categorized as a tissue remodeling-related activity.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PAI-I</w:t>
            </w:r>
          </w:p>
        </w:tc>
        <w:tc>
          <w:tcPr>
            <w:tcW w:w="7325" w:type="dxa"/>
            <w:hideMark/>
          </w:tcPr>
          <w:p w:rsidR="00E9558D" w:rsidRPr="00E31088" w:rsidRDefault="00E9558D" w:rsidP="005E4F76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 xml:space="preserve">PAI-I is a serine proteinase inhibitor and inhibitor of tissue </w:t>
            </w:r>
            <w:r w:rsidR="00AE1E8B" w:rsidRPr="00E31088">
              <w:rPr>
                <w:rFonts w:ascii="Times New Roman" w:hAnsi="Times New Roman" w:cs="Times New Roman"/>
                <w:sz w:val="20"/>
                <w:szCs w:val="20"/>
              </w:rPr>
              <w:t xml:space="preserve">Plasminogen Activator </w:t>
            </w: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(tPA) and urokinase (uPA) and is involved in tissu</w:t>
            </w:r>
            <w:r w:rsidR="00E31088">
              <w:rPr>
                <w:rFonts w:ascii="Times New Roman" w:hAnsi="Times New Roman" w:cs="Times New Roman"/>
                <w:sz w:val="20"/>
                <w:szCs w:val="20"/>
              </w:rPr>
              <w:t xml:space="preserve">e remodeling and fibrinolysis. </w:t>
            </w:r>
            <w:r w:rsidRPr="00E31088">
              <w:rPr>
                <w:rFonts w:ascii="Times New Roman" w:hAnsi="Times New Roman" w:cs="Times New Roman"/>
                <w:sz w:val="20"/>
                <w:szCs w:val="20"/>
              </w:rPr>
              <w:t>PAI-I is categorized as a tissue remodeling-related activity.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D057A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Proliferation </w:t>
            </w:r>
            <w:r w:rsidR="00E9558D"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72hr</w:t>
            </w:r>
          </w:p>
        </w:tc>
        <w:tc>
          <w:tcPr>
            <w:tcW w:w="7325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Proliferation</w:t>
            </w:r>
            <w:r w:rsidR="00175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72hr in the HDF3CGF system is a measure of dermal fibroblast proliferation which is important to the process of wound healing and fibrosis.</w:t>
            </w:r>
          </w:p>
        </w:tc>
      </w:tr>
      <w:tr w:rsidR="00E9558D" w:rsidRPr="005E4F76" w:rsidTr="00175DB7">
        <w:trPr>
          <w:trHeight w:val="1201"/>
        </w:trPr>
        <w:tc>
          <w:tcPr>
            <w:tcW w:w="1818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SRB</w:t>
            </w:r>
          </w:p>
        </w:tc>
        <w:tc>
          <w:tcPr>
            <w:tcW w:w="7325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SRB is a measure of the total protein </w:t>
            </w:r>
            <w:r w:rsidR="000D4D02">
              <w:rPr>
                <w:rFonts w:ascii="Times New Roman" w:hAnsi="Times New Roman" w:cs="Times New Roman"/>
                <w:sz w:val="20"/>
                <w:szCs w:val="20"/>
              </w:rPr>
              <w:t xml:space="preserve">content of dermal fibroblasts.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Cell viability of adherent cells is measured by Sulforhodamine B (SRB) staining, a method that determines cell density by measuring total protein content of test wells.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TIMP-1</w:t>
            </w:r>
          </w:p>
        </w:tc>
        <w:tc>
          <w:tcPr>
            <w:tcW w:w="7325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TIMP-1 is a tissue inhibitor of </w:t>
            </w:r>
            <w:r w:rsidR="00125ED5" w:rsidRPr="005E4F76">
              <w:rPr>
                <w:rFonts w:ascii="Times New Roman" w:hAnsi="Times New Roman" w:cs="Times New Roman"/>
                <w:sz w:val="20"/>
                <w:szCs w:val="20"/>
              </w:rPr>
              <w:t>Matrix Metalloprotease-7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(MMP-7) and other MMPs, and is involved in tissue remodeli</w:t>
            </w:r>
            <w:r w:rsidR="000A3E48">
              <w:rPr>
                <w:rFonts w:ascii="Times New Roman" w:hAnsi="Times New Roman" w:cs="Times New Roman"/>
                <w:sz w:val="20"/>
                <w:szCs w:val="20"/>
              </w:rPr>
              <w:t xml:space="preserve">ng, angiogenesis and fibrosis.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TIMP-1 is categorized as</w:t>
            </w:r>
            <w:r w:rsidRPr="00EB1F27">
              <w:rPr>
                <w:rFonts w:ascii="Times New Roman" w:hAnsi="Times New Roman" w:cs="Times New Roman"/>
                <w:sz w:val="20"/>
                <w:szCs w:val="20"/>
              </w:rPr>
              <w:t xml:space="preserve"> a tissue remodeling-related activity.</w:t>
            </w:r>
          </w:p>
        </w:tc>
      </w:tr>
      <w:tr w:rsidR="00E9558D" w:rsidRPr="005E4F76" w:rsidTr="00175DB7">
        <w:trPr>
          <w:trHeight w:val="901"/>
        </w:trPr>
        <w:tc>
          <w:tcPr>
            <w:tcW w:w="1818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TIMP-2</w:t>
            </w:r>
          </w:p>
        </w:tc>
        <w:tc>
          <w:tcPr>
            <w:tcW w:w="7325" w:type="dxa"/>
            <w:hideMark/>
          </w:tcPr>
          <w:p w:rsidR="00E9558D" w:rsidRPr="005E4F76" w:rsidRDefault="00E9558D" w:rsidP="00336CE9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TIMP-2 is a tissue inhibitor of matrix metalloproteases and is involved in tissue remodeli</w:t>
            </w:r>
            <w:r w:rsidR="00FE1A44">
              <w:rPr>
                <w:rFonts w:ascii="Times New Roman" w:hAnsi="Times New Roman" w:cs="Times New Roman"/>
                <w:sz w:val="20"/>
                <w:szCs w:val="20"/>
              </w:rPr>
              <w:t xml:space="preserve">ng, angiogenesis and fibrosis.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TIMP-2 is categorized as </w:t>
            </w:r>
            <w:r w:rsidRPr="00B76943">
              <w:rPr>
                <w:rFonts w:ascii="Times New Roman" w:hAnsi="Times New Roman" w:cs="Times New Roman"/>
                <w:sz w:val="20"/>
                <w:szCs w:val="20"/>
              </w:rPr>
              <w:t>a tissue remodeling-related activity.</w:t>
            </w:r>
          </w:p>
        </w:tc>
      </w:tr>
    </w:tbl>
    <w:p w:rsidR="00E9558D" w:rsidRPr="005E4F76" w:rsidRDefault="00E9558D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350" w:rsidRPr="005E4F76" w:rsidRDefault="00916350" w:rsidP="00916350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91635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5E4F76">
        <w:rPr>
          <w:rFonts w:ascii="Times New Roman" w:hAnsi="Times New Roman" w:cs="Times New Roman"/>
          <w:sz w:val="20"/>
          <w:szCs w:val="20"/>
        </w:rPr>
        <w:t xml:space="preserve"> Glossary of biomarkers of </w:t>
      </w:r>
      <w:r w:rsidRPr="005E4F76">
        <w:rPr>
          <w:rFonts w:ascii="Times New Roman" w:eastAsiaTheme="minorEastAsia" w:hAnsi="Times New Roman" w:cs="Times New Roman"/>
          <w:sz w:val="20"/>
          <w:szCs w:val="20"/>
          <w:lang w:eastAsia="zh-CN"/>
        </w:rPr>
        <w:t>the human dermal fibroblast s</w:t>
      </w:r>
      <w:r w:rsidRPr="005E4F76">
        <w:rPr>
          <w:rFonts w:ascii="Times New Roman" w:hAnsi="Times New Roman" w:cs="Times New Roman"/>
          <w:sz w:val="20"/>
          <w:szCs w:val="20"/>
        </w:rPr>
        <w:t>ystem (HDF3CGF) used in the study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31E4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16"/>
        <w:gridCol w:w="1549"/>
        <w:gridCol w:w="6178"/>
      </w:tblGrid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Illumina Gene ID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Fold Change in L</w:t>
            </w:r>
            <w:r w:rsidRPr="00774C7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og</w:t>
            </w:r>
            <w:r w:rsidR="00FA5720" w:rsidRPr="00774C7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2</w:t>
            </w: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form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2E1A39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TFRC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transferrin receptor (p90, CD71) (TFRC),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AKR1C4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aldo-keto reductase family 1, member C4 (chlordecone reductase; 3-alpha hydroxysteroid dehydrogenase, type I; dihydrodiol dehydrogenase 4) (AKR1C4),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GSTA2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E3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Glutathione S-Transferase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A2 (GSTA2),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CDCA7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E3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Cell Division Cycle Associated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7 (CDCA7),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TSPAN13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3B2" w:rsidRPr="005E4F76">
              <w:rPr>
                <w:rFonts w:ascii="Times New Roman" w:hAnsi="Times New Roman" w:cs="Times New Roman"/>
                <w:sz w:val="20"/>
                <w:szCs w:val="20"/>
              </w:rPr>
              <w:t>Tetraspanin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13 (TSPAN13),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HS.527671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UI-CF-FN0-age-p-21-18-UI.r18 UI-CF-FN0 </w:t>
            </w:r>
            <w:r w:rsidR="00B37F44" w:rsidRPr="00305CD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UI-CF-FN0-age-p-21-18-UI 5,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MIR1914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microRNA 1914 (MIR1914), microRNA.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HNRNPA1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80C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Heterogeneous Nuclear Ribonucleoprotein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A1 (HNRNPA1),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LOC650922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hypothetical LOC650922 (LOC650922),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HS.544326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hd38d03.x1 Soares_NFL_T_GBC_S1 </w:t>
            </w:r>
            <w:r w:rsidR="00B37F44"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IMAGE:2911781 3, mRNA sequence</w:t>
            </w:r>
            <w:r w:rsidR="00732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HNRPH1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45B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Heterogeneous Nuclear Ribonucleoprotein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H1 (H) (HNRPH1),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FGF6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F70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Fibroblast Growth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6 (FGF6),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HS.374832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DA086964 BRACE2 </w:t>
            </w:r>
            <w:r w:rsidR="00B37F44" w:rsidRPr="0069340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BRACE2041741 5,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LOC100101266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C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CE71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hepatitis A virus cellular receptor 1 pseudogene (LOC100101266), non-coding 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GTF2I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1C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EF9" w:rsidRPr="005E4F76">
              <w:rPr>
                <w:rFonts w:ascii="Times New Roman" w:hAnsi="Times New Roman" w:cs="Times New Roman"/>
                <w:sz w:val="20"/>
                <w:szCs w:val="20"/>
              </w:rPr>
              <w:t>General Transcription Factor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II, i (GTF2I),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LOC731042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A461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hypothetical protein LOC731042 (LOC731042),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LIPL4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A461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lipase-like, ab-hydrolase domain containing 4 (LIPL4),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HS.565086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UI-H-BI3-alw-d-07-0-UI.s1 NCI_CGAP_Sub5 </w:t>
            </w:r>
            <w:r w:rsidR="00B37F44" w:rsidRPr="00A461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</w:t>
            </w:r>
            <w:r w:rsidR="00A461DA">
              <w:rPr>
                <w:rFonts w:ascii="Times New Roman" w:hAnsi="Times New Roman" w:cs="Times New Roman"/>
                <w:sz w:val="20"/>
                <w:szCs w:val="20"/>
              </w:rPr>
              <w:t xml:space="preserve"> 3068964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3,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UBL4A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6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799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Ubiquitin-Like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4A (UBL4A),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CLEC18C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D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C-type </w:t>
            </w:r>
            <w:r w:rsidR="000A474D" w:rsidRPr="005E4F76">
              <w:rPr>
                <w:rFonts w:ascii="Times New Roman" w:hAnsi="Times New Roman" w:cs="Times New Roman"/>
                <w:sz w:val="20"/>
                <w:szCs w:val="20"/>
              </w:rPr>
              <w:t>Lectin Domain Family 18, Member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 (CLEC18C),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HIST2H2AA3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D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1B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Histone Cluster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2, H2aa3 (HIST2H2AA3),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UBE2E3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D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1B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Ubiquitin-Conjugating Enzyme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E2E 3 (UBC4/5 homolog, yeast) (UBE2E3),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REXO4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8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REX4, RNA exonuclease 4 homolog (</w:t>
            </w:r>
            <w:r w:rsidR="001631E4" w:rsidRPr="009E19C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S. cerevisiae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) (REXO4),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HSPE1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83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heat shock 10kDa protein 1 (chaperonin 10) (HSPE1),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SLMO1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88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slowmo homolog 1 (Drosophila) (SLMO1),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XPOT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export</w:t>
            </w:r>
            <w:r w:rsidR="00561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in, tRNA (nuclear export receptor for tRNAs) (XPOT),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HEATR3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HEAT repeat containing 3 (HEATR3),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HS.61208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7o98h02.x1 NCI_CGAP_Ov18 </w:t>
            </w:r>
            <w:r w:rsidR="00B37F44"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IMAGE:3644403 3,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ODC1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D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Ornithine Decarboxylase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(ODC1),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KIAA1906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KIAA1906 protein (KIAA1906),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SNORD16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CF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small nucleolar RNA, C/D box 16 (SNORD16), small nucleolar RNA</w:t>
            </w:r>
            <w:r w:rsidR="001631E4" w:rsidRPr="00D40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HS.12764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IMAGE:5541046, partial cds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HMGA2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E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E87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High Mobility Group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AT-hook 2 (HMGA2),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SUFU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92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suppressor of fused homolog (Drosophila) (SUFU),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GRIP2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58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645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6458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Glutamate Receptor Interacting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(GRIP2),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SDR16C5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short chain dehydrogenase/reductase family 16C, member 5 (SDR16C5),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LOC729779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163BF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misc_RNA (LOC729779), misc</w:t>
            </w:r>
            <w:r w:rsidR="0022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DSCR4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0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Down syndrome critical region gene 4 (DSCR4),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HS.169815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op45f10.s1 Soares_NFL_T_GBC_S1 </w:t>
            </w:r>
            <w:r w:rsidR="00B37F44" w:rsidRPr="007520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IMAGE:1579819 3,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GPR176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0F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  <w:r w:rsidR="00F10B5D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r w:rsidR="007520FB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Coupled Receptor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176 (GPR176),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HS.438937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C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FLJ41881 fis, clone OCBBF2021833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NQO1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C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NAD(P)H dehydrogenase, quinone 1 (NQO1),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SLC25A20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3B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solute carrier family 25 (carnitine/acylcarnitine translocase), member 20 (SLC25A20), nuclear gene encoding mitochondrial protein,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BCAR4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3B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breast cancer anti-estrogen resistance 4 (BCAR4), non-coding 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LOC100132106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357BE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hypothetical protein LOC100132106 (LOC100132106),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MIR9-1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6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microRNA 9-1 (MIR9-1), microRNA.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SCARNA14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36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small Cajal body-specific RNA 14 (SCARNA14), guide 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HS.378070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hn28d09.x1 NCI_CGAP_Thy7 </w:t>
            </w:r>
            <w:r w:rsidR="00B37F44" w:rsidRPr="00EC605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IMAGE:</w:t>
            </w:r>
            <w:r w:rsidR="00B7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3023441 3,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TSPAN13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44">
              <w:rPr>
                <w:rFonts w:ascii="Times New Roman" w:hAnsi="Times New Roman" w:cs="Times New Roman"/>
                <w:i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FDE" w:rsidRPr="005E4F76">
              <w:rPr>
                <w:rFonts w:ascii="Times New Roman" w:hAnsi="Times New Roman" w:cs="Times New Roman"/>
                <w:sz w:val="20"/>
                <w:szCs w:val="20"/>
              </w:rPr>
              <w:t>Tetraspanin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13 (TSPAN13),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LOC100129000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3A70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similar to hCG1647535, transcript variant 1 (LOC100129000),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DTNA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0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dystrobrevin, alpha (DTNA), transcript variant 7,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LPPR5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09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lipid phosphate phosphatase-related protein type 5 (LPPR5),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CD47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3A70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CD47 molecule (CD47),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HAS3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EF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Hyaluronan Synthase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(HAS3),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ANGPT1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3DF" w:rsidRPr="005E4F76">
              <w:rPr>
                <w:rFonts w:ascii="Times New Roman" w:hAnsi="Times New Roman" w:cs="Times New Roman"/>
                <w:sz w:val="20"/>
                <w:szCs w:val="20"/>
              </w:rPr>
              <w:t>Angiopoietin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 (ANGPT1),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IGF1R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A64">
              <w:rPr>
                <w:rFonts w:ascii="Times New Roman" w:hAnsi="Times New Roman" w:cs="Times New Roman"/>
                <w:sz w:val="20"/>
                <w:szCs w:val="20"/>
              </w:rPr>
              <w:t>Insulin-l</w:t>
            </w:r>
            <w:r w:rsidR="00690A6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ike Growth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receptor (IGF1R),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TP53INP2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E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1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Tumor Protein P53 Inducible Nuclear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(TP53INP2),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CHRNA1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3C6">
              <w:rPr>
                <w:rFonts w:ascii="Times New Roman" w:hAnsi="Times New Roman" w:cs="Times New Roman"/>
                <w:sz w:val="20"/>
                <w:szCs w:val="20"/>
              </w:rPr>
              <w:t xml:space="preserve">Cholinergic Receptor Nicotinic </w:t>
            </w:r>
            <w:r w:rsidR="005A53C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Alpha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(muscle) (CHRNA1),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BNIP3L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BCL2/adenovirus </w:t>
            </w:r>
            <w:r w:rsidR="00013FBB">
              <w:rPr>
                <w:rFonts w:ascii="Times New Roman" w:hAnsi="Times New Roman" w:cs="Times New Roman"/>
                <w:sz w:val="20"/>
                <w:szCs w:val="20"/>
              </w:rPr>
              <w:t xml:space="preserve">E1B 19kDa interacting protein 3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like (BNIP3L),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GSN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A" w:rsidRPr="005E4F76">
              <w:rPr>
                <w:rFonts w:ascii="Times New Roman" w:hAnsi="Times New Roman" w:cs="Times New Roman"/>
                <w:sz w:val="20"/>
                <w:szCs w:val="20"/>
              </w:rPr>
              <w:t>Gelsolin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(amyloidosis, Finnish type) (GSN),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CYB5A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F8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Cytochrome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b5 type A (microsomal) (CYB5A), transcript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SP110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SP110 nuclear body protein (SP110), transcript variant b,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RASGRP3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RAS </w:t>
            </w:r>
            <w:r w:rsidR="009D058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Guanyl Releasing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(calcium and DAG-regulated) (RASGRP3),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CTGF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533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Connective Tissue Growth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(CTGF),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RBM39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RNA </w:t>
            </w:r>
            <w:r w:rsidR="003355C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Binding Motif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39 (RBM39),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DDX60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DEAD (Asp-Glu-Ala-Asp) </w:t>
            </w:r>
            <w:r w:rsidR="003001D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Box Polypeptide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60 (DDX60),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MT1F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B2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Metallothionein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1F (MT1F),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IFIT3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interferon-induced protein with tetratricopeptide repeats 3 (IFIT3),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RNF150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67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Ring Finger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150 (RNF150),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DNER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delta/notch-like EGF repeat containing (DNER),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LPPR4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plasticity related gene 1 (LPPR4),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HSD11B1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D0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Hydroxysteroid (11-Beta) Dehydrogenase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(HSD11B1),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HECW2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HECT, C2 and WW domain containing E3 ubiquitin protein ligase 2 (HECW2),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CLEC1A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57154D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54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C-Type Lectin Domain Family 1, </w:t>
            </w:r>
            <w:r w:rsidR="0057154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7154D" w:rsidRPr="005E4F76">
              <w:rPr>
                <w:rFonts w:ascii="Times New Roman" w:hAnsi="Times New Roman" w:cs="Times New Roman"/>
                <w:sz w:val="20"/>
                <w:szCs w:val="20"/>
              </w:rPr>
              <w:t>embe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r A (CLEC1A),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CCRL1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9A0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Chemokine (C-C Motif) Receptor-Like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(CCRL1),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RARRES1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E39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Retinoic Acid Receptor Responder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(tazarotene induced) 1 (RARRES1),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DDF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Histamine N-Methyltransferase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(HNMT),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VPS25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B8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Vacuolar Protein Sorting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25 homolog </w:t>
            </w:r>
            <w:r w:rsidR="001631E4" w:rsidRPr="00170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631E4" w:rsidRPr="0017098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S. cerevisiae</w:t>
            </w:r>
            <w:r w:rsidR="001631E4" w:rsidRPr="00170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(VPS25),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GAD1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1C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Glutamate Decarboxylase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(brain, 67kDa) (GAD1), transcript variant GAD25,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EIF2AK3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1C1" w:rsidRPr="005E4F76">
              <w:rPr>
                <w:rFonts w:ascii="Times New Roman" w:hAnsi="Times New Roman" w:cs="Times New Roman"/>
                <w:sz w:val="20"/>
                <w:szCs w:val="20"/>
              </w:rPr>
              <w:t>Eukaryotic Translation Initiation Factor 2-Alpha Kinase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3 (EIF2AK3),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IFIT1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A0E" w:rsidRPr="005E4F76">
              <w:rPr>
                <w:rFonts w:ascii="Times New Roman" w:hAnsi="Times New Roman" w:cs="Times New Roman"/>
                <w:sz w:val="20"/>
                <w:szCs w:val="20"/>
              </w:rPr>
              <w:t>Interferon-Induced Protein With Tetratricopeptide Repeats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 (IFIT1),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LOC651872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655F4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similar to C-C </w:t>
            </w:r>
            <w:r w:rsidR="00CC6802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Chemokine Receptor Type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11 (C-C CKR-11) (CC-CKR-11) (CCR-11) (CC </w:t>
            </w:r>
            <w:r w:rsidR="008334C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Chemokine Receptor-Like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1) (CCRL1) (CCX CKR) (LOC651872),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C5ORF41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2EE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Chromosome 5 </w:t>
            </w:r>
            <w:r w:rsidR="00847694" w:rsidRPr="005E4F76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A462EE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84769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reading frame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41 (C5orf41),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C10ORF58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694" w:rsidRPr="005E4F76">
              <w:rPr>
                <w:rFonts w:ascii="Times New Roman" w:hAnsi="Times New Roman" w:cs="Times New Roman"/>
                <w:sz w:val="20"/>
                <w:szCs w:val="20"/>
              </w:rPr>
              <w:t>Chromosome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10 open reading frame 58 (C10orf58),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ABLIM1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DC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Actin Binding Lim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(ABLIM1), transcript variant 4,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SSH1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712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Slingshot Homolog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(Drosophila) (SSH1),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PTK7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PTK7 </w:t>
            </w:r>
            <w:r w:rsidR="00052D6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Protein Tyrosine Kinase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7 (PTK7), transcript variant PTK7-4,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COL4A2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052D6D">
              <w:rPr>
                <w:rFonts w:ascii="Times New Roman" w:hAnsi="Times New Roman" w:cs="Times New Roman"/>
                <w:sz w:val="20"/>
                <w:szCs w:val="20"/>
              </w:rPr>
              <w:t xml:space="preserve"> Collagen Type iv </w:t>
            </w:r>
            <w:r w:rsidR="00052D6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Alpha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(COL4A2),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MESDC1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53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Mesoderm Development Candidate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(MESDC1),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CDH11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E1" w:rsidRPr="005E4F76">
              <w:rPr>
                <w:rFonts w:ascii="Times New Roman" w:hAnsi="Times New Roman" w:cs="Times New Roman"/>
                <w:sz w:val="20"/>
                <w:szCs w:val="20"/>
              </w:rPr>
              <w:t>Cadherin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11, type 2, OB-cadherin (osteoblast) (CDH11),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MAP7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51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Microtubule-Associated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7 (MAP7),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PLAC8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23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Placenta-Specific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8 (PLAC8),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SYNC1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23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Syncoilin, Intermediate Filament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(SYNC1),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SMC3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DE4D84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D8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Structural Maintenance </w:t>
            </w:r>
            <w:r w:rsidR="00DE4D8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4D8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 Chromosomes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(SMC3),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CFH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40C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Complement Factor H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(CFH),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N4BP2L1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NEDD4 binding protein 2-like 1 (N4BP2L1),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LDHAL6B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A97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Lactate Dehydrogenase A-Like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6B (LDHAL6B),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GPD2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B20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Glycerol-3-Phosphate Dehydrogenase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(mitochondrial) (GPD2), nuclear gene encoding mitochondrial protein,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EID3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179">
              <w:rPr>
                <w:rFonts w:ascii="Times New Roman" w:hAnsi="Times New Roman" w:cs="Times New Roman"/>
                <w:sz w:val="20"/>
                <w:szCs w:val="20"/>
              </w:rPr>
              <w:t>Ep300 Interacting Inhibitor o</w:t>
            </w:r>
            <w:r w:rsidR="00305179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 Differentiation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(EID3),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FBLN5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55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Fibulin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5 (FBLN5),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NCCRP1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A1B" w:rsidRPr="005E4F76">
              <w:rPr>
                <w:rFonts w:ascii="Times New Roman" w:hAnsi="Times New Roman" w:cs="Times New Roman"/>
                <w:sz w:val="20"/>
                <w:szCs w:val="20"/>
              </w:rPr>
              <w:t>Non-Specific Cytotoxic Cell Receptor Protein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 homolog (zebrafish) (NCCRP1),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HGF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B9B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Hepatocyte Growth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(hepapoietin A; scatter factor) (HGF),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OAS1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1631E4" w:rsidRPr="00B55A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2',5'</w:t>
            </w:r>
            <w:r w:rsidR="00B50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77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Oligoadenylate Synthetase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1, 40/46kDa (OAS1),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KLF4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DD7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5FC">
              <w:rPr>
                <w:rFonts w:ascii="Times New Roman" w:hAnsi="Times New Roman" w:cs="Times New Roman"/>
                <w:sz w:val="20"/>
                <w:szCs w:val="20"/>
              </w:rPr>
              <w:t xml:space="preserve">Kruppel </w:t>
            </w:r>
            <w:r w:rsidR="00C205FC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Like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4 (gut) (KLF4),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SHRM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DDF" w:rsidRPr="005E4F76">
              <w:rPr>
                <w:rFonts w:ascii="Times New Roman" w:hAnsi="Times New Roman" w:cs="Times New Roman"/>
                <w:sz w:val="20"/>
                <w:szCs w:val="20"/>
              </w:rPr>
              <w:t>Shroom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(SHRM),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MAP1LC3A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86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09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Microtubule-Associated Protein 1 Light Chain 3 Alpha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(MAP1LC3A),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BNIP3L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95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BCL2/</w:t>
            </w:r>
            <w:r w:rsidR="00226BCA" w:rsidRPr="005E4F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denovirus E1B 19kDa </w:t>
            </w:r>
            <w:r w:rsidR="0002709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Interacting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2E0B5C" w:rsidRPr="005E4F76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(BNIP3L),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TP53INP1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4F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Tumor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p53 </w:t>
            </w:r>
            <w:r w:rsidR="00D334F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Inducible Nuclear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(TP53INP1),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MT1H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29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Metallothionein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1H (MT1H),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SIRPA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F00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Signal-Regulatory Protein Alpha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(SIRPA), transcript variant 3,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FILIP1L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997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Filamina Interacting Protein 1-Like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(FILIP1L),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NHS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B7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Nance-Horan Syndrome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(congenital cataracts and dental anomalies) (NHS),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LYPD1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LY6/PLAUR </w:t>
            </w:r>
            <w:r w:rsidR="00E86608" w:rsidRPr="005E4F76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containing 1 (LYPD1),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B9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Kinesin Family Member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11 (KIF11),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CEACAM1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43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Carcinoembryonic Antigen-Related Cell Adhesion Molecule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(biliary glycoprotein) (CEACAM1),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FAM43A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6C2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Family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with sequence similarity 43, member A (FAM43A),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NUAK2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NUAK family, </w:t>
            </w:r>
            <w:r w:rsidR="004B4B0F" w:rsidRPr="005E4F76">
              <w:rPr>
                <w:rFonts w:ascii="Times New Roman" w:hAnsi="Times New Roman" w:cs="Times New Roman"/>
                <w:sz w:val="20"/>
                <w:szCs w:val="20"/>
              </w:rPr>
              <w:t>snf1-like kinase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, 2 (NUAK2),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GPD2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E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Glycerol-3-Phosphate Dehydrogenase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(mitochondrial) (GPD2),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CYP24A1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429" w:rsidRPr="005E4F76">
              <w:rPr>
                <w:rFonts w:ascii="Times New Roman" w:hAnsi="Times New Roman" w:cs="Times New Roman"/>
                <w:sz w:val="20"/>
                <w:szCs w:val="20"/>
              </w:rPr>
              <w:t>Cytochrome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P450, </w:t>
            </w:r>
            <w:r w:rsidR="00AD3DA8" w:rsidRPr="005E4F7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amily 24, </w:t>
            </w:r>
            <w:r w:rsidR="00AD3DA8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ubfamily A, </w:t>
            </w:r>
            <w:r w:rsidR="00AD3DA8" w:rsidRPr="005E4F7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olypeptide 1 (CYP24A1), nuclear gene encoding mitochondrial protein,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HLA-DPA1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major </w:t>
            </w:r>
            <w:r w:rsidR="00DC06B8" w:rsidRPr="005E4F7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istocompatibility complex, class II, DP </w:t>
            </w:r>
            <w:r w:rsidR="005E2429" w:rsidRPr="005E4F76">
              <w:rPr>
                <w:rFonts w:ascii="Times New Roman" w:hAnsi="Times New Roman" w:cs="Times New Roman"/>
                <w:sz w:val="20"/>
                <w:szCs w:val="20"/>
              </w:rPr>
              <w:t>Alpha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 (HLA-DPA1),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ABI3BP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ABI gene family, member 3 (NESH) binding protein (ABI3BP),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USP18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659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Ubiquitin Specific Peptidase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18 (USP18),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FABP3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6B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Fatty Acid Binding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3, muscle and heart (mammary-derived growth inhibitor) (FABP3),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KCNK2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BC2" w:rsidRPr="005E4F76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tassium </w:t>
            </w:r>
            <w:r w:rsidR="00046BC2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hannel, subfamily K, member 2 (KCNK2), transcript variant 3,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CYP51A1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548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ytochrome P450, family 51, subfamily A, polypeptide 1 (CYP51A1),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CYP1B1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548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ytochrome P450, family 1, subfamily B, </w:t>
            </w:r>
            <w:r w:rsidR="00324548" w:rsidRPr="005E4F7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olypeptide 1 (CYP1B1),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PLAT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54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Plasminogen Activator, Tissue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(PLAT),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HLA-DRB6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major </w:t>
            </w:r>
            <w:r w:rsidR="00533F0A" w:rsidRPr="005E4F7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istocompatibility complex, class II, DR beta 6 (pseudogene) (HLA-DRB6), non-coding 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LOC100131093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misc_RNA (LOC100131093), miscRNA.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FBLN5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D29" w:rsidRPr="005E4F76">
              <w:rPr>
                <w:rFonts w:ascii="Times New Roman" w:hAnsi="Times New Roman" w:cs="Times New Roman"/>
                <w:sz w:val="20"/>
                <w:szCs w:val="20"/>
              </w:rPr>
              <w:t>Fibulin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5 (FBLN5),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MUC1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D29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ucin 1, cell surface associated (MUC1), transcript variant 5,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SEMA3C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sema domain, </w:t>
            </w:r>
            <w:r w:rsidR="00AF2D29" w:rsidRPr="005E4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mmunoglobulin domain (Ig), short basic domain, secreted, (</w:t>
            </w:r>
            <w:r w:rsidR="00A15578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emaphorin) 3C (SEMA3C),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NNMT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395" w:rsidRPr="005E4F7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icotinamide N-</w:t>
            </w:r>
            <w:r w:rsidR="00492395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ethyltransferase (NNMT),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TNFSF13B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5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126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2685F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Tumor Necrosis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factor (ligand) superfamily, member 13b (TNFSF13B),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FAM20A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987" w:rsidRPr="005E4F7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amily with sequence similarity 20, member A (FAM20A),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FBXO32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F-</w:t>
            </w:r>
            <w:r w:rsidR="00A96D54" w:rsidRPr="005E4F76">
              <w:rPr>
                <w:rFonts w:ascii="Times New Roman" w:hAnsi="Times New Roman" w:cs="Times New Roman"/>
                <w:sz w:val="20"/>
                <w:szCs w:val="20"/>
              </w:rPr>
              <w:t>Box Protein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32 (FBXO32),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EDNRA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61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Endothelin Receptor Type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A (EDNRA),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46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Complement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B (CFB),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ADAMDEC1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ADAM-</w:t>
            </w:r>
            <w:r w:rsidR="00376F96" w:rsidRPr="005E4F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ike, </w:t>
            </w:r>
            <w:r w:rsidR="00376F96" w:rsidRPr="005E4F7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ecysin 1 (ADAMDEC1),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HS.561679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DA830074 PLACE1 </w:t>
            </w:r>
            <w:r w:rsidR="00B37F44"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cDNA clone PLACE1004374 5, mRNA sequence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PALLD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7E6" w:rsidRPr="005E4F76">
              <w:rPr>
                <w:rFonts w:ascii="Times New Roman" w:hAnsi="Times New Roman" w:cs="Times New Roman"/>
                <w:sz w:val="20"/>
                <w:szCs w:val="20"/>
              </w:rPr>
              <w:t>Palladin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, cytoskeletal associated protein (PALLD),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EGFL6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EGF-</w:t>
            </w:r>
            <w:r w:rsidR="007514A2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Like-Domain, Multiple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6 (EGFL6),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LRRN3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leucine rich repeat neuronal 3 (LRRN3),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FILIP1L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9C0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Filamina Interacting Protein 1-Like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(FILIP1L), transcript variant 2, </w:t>
            </w:r>
            <w:r w:rsidR="001631E4"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mRNA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SEPT4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DA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Septin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4 (SEPT4),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C9ORF135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F7A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hromosome 9 open reading frame 135 (C9orf135),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HLA-DRB5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major </w:t>
            </w:r>
            <w:r w:rsidR="0097731F" w:rsidRPr="005E4F76">
              <w:rPr>
                <w:rFonts w:ascii="Times New Roman" w:hAnsi="Times New Roman" w:cs="Times New Roman"/>
                <w:sz w:val="20"/>
                <w:szCs w:val="20"/>
              </w:rPr>
              <w:t>Histocompatibility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complex, class II, DR </w:t>
            </w:r>
            <w:r w:rsidR="008929C0" w:rsidRPr="005E4F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eta 5 (HLA-DRB5),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TFPI2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A9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Tissue Factor Pathway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inhibitor 2 (TFPI2),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CYB5A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cytochrome b5 type A (microsomal) (CYB5A),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ARHGAP28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Rho GTPase activating protein 28 (ARHGAP28),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LRDD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51E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Leucine-Rich Repeats and Death Domain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containing (LRDD),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SLC26A4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</w:t>
            </w:r>
            <w:r w:rsidRPr="00B37F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697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olute carrier family 26, member 4 (SLC26A4),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MT1JP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</w:t>
            </w:r>
            <w:r w:rsidRPr="00B37F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07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697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etallothionein 1J (pseudogene) (MT1JP),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VCAN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697" w:rsidRPr="005E4F7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ersican (VCAN),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C13ORF15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F4F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hromosome 13 open reading frame 15 (C13orf15),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NR4A2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F4F" w:rsidRPr="005E4F7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uclear </w:t>
            </w:r>
            <w:r w:rsidR="00D04F4F" w:rsidRPr="005E4F7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eceptor subfamily 4, group A, member 2 (NR4A2),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SEPT4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FD4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eptin 4 (SEPT4), transcript variant 3,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THBS2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FD4" w:rsidRPr="005E4F7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hrombospondin 2 (THBS2),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IL4I1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FD4" w:rsidRPr="005E4F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nterleukin 4 </w:t>
            </w:r>
            <w:r w:rsidR="00204FD4" w:rsidRPr="005E4F76">
              <w:rPr>
                <w:rFonts w:ascii="Times New Roman" w:hAnsi="Times New Roman" w:cs="Times New Roman"/>
                <w:sz w:val="20"/>
                <w:szCs w:val="20"/>
              </w:rPr>
              <w:t>Induced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1 (IL4I1),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TNFSF13B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C9F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Tumor Necrosis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(ligand) superfamily, member 13b (TNFSF13B),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MASP1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BDC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Mannan-Binding Lectin Serine Peptidase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(C4/C2 activating component of Ra-reactive factor) (MASP1),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RASL11B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RAS-</w:t>
            </w:r>
            <w:r w:rsidR="002E36AA" w:rsidRPr="005E4F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ike, family 11, member B (RASL11B),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LRRN3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93A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Leucine Rich Repeat Neuronal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(LRRN3),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CLDN1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93A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laudin 1 (CLDN1),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924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olute carrier family 39 (zinc transporter), member 8 (SLC39A8),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FLJ21986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hypothetical protein FLJ21986 (FLJ21986),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PSTPIP2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26B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Proline-Serine-Threonine Phosphatase Interacting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(PSTPIP2),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SEPT4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8A1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eptin 4 (SEPT4),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LOC100134073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similar to LYPDC1 protein (LOC100134073),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SLC2A5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BAF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olute carrier family 2 (facilitated glucose/fructose transporter), member 5 (SLC2A5),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985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hemokine (C-C motif) </w:t>
            </w:r>
            <w:r w:rsidR="00376985" w:rsidRPr="005E4F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igand 5 (CCL5),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STX11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FA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yntaxin 11 (STX11),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HLA-DRB4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FA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ajor </w:t>
            </w:r>
            <w:r w:rsidR="009B26FA" w:rsidRPr="005E4F76">
              <w:rPr>
                <w:rFonts w:ascii="Times New Roman" w:hAnsi="Times New Roman" w:cs="Times New Roman"/>
                <w:sz w:val="20"/>
                <w:szCs w:val="20"/>
              </w:rPr>
              <w:t>Histocompatibility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complex, class II, DR </w:t>
            </w:r>
            <w:r w:rsidR="009B26FA" w:rsidRPr="005E4F7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eta 4 (HLA-DRB4),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LOC649143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similar to HLA class II histocompatibility antigen, DRB1-9 beta chain precursor (MHC class I antigen DRB1</w:t>
            </w:r>
            <w:r w:rsidRPr="00AB70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*9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) (DR-9) (DR9), transcript variant 2 (LOC649143),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NR4A2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-1.89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D5" w:rsidRPr="005E4F76">
              <w:rPr>
                <w:rFonts w:ascii="Times New Roman" w:hAnsi="Times New Roman" w:cs="Times New Roman"/>
                <w:sz w:val="20"/>
                <w:szCs w:val="20"/>
              </w:rPr>
              <w:t>Nuclear Receptor Subfamily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4, group A, member 2 (NR4A2),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D5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Solute Carrier Family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39 (zinc transporter), member 8 (SLC39A8),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HLA-DRB6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D5" w:rsidRPr="005E4F76">
              <w:rPr>
                <w:rFonts w:ascii="Times New Roman" w:hAnsi="Times New Roman" w:cs="Times New Roman"/>
                <w:sz w:val="20"/>
                <w:szCs w:val="20"/>
              </w:rPr>
              <w:t>Major Histocompatibility 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omplex, class II, DR beta 6 (pseudogene) (HLA-DRB6), non-coding 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CXCL11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67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009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hemokine (C-X-C motif) </w:t>
            </w:r>
            <w:r w:rsidR="00335009" w:rsidRPr="005E4F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igand 11 (CXCL11),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IFIT2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FD4">
              <w:rPr>
                <w:rFonts w:ascii="Times New Roman" w:hAnsi="Times New Roman" w:cs="Times New Roman"/>
                <w:sz w:val="20"/>
                <w:szCs w:val="20"/>
              </w:rPr>
              <w:t>Interferon-Induced Protein w</w:t>
            </w:r>
            <w:r w:rsidR="00B33FD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ith Tetratricopeptide Repeats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2 (IFIT2),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MUC1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24B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ucin 1, cell surface associated (MUC1), transcript variant 6,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LIPG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ipase, endothelial (LIPG),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SULF1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ulfatase 1 (SULF1),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UBD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-2.03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biquitin D (UBD),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XIRP1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-2.04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in actin-binding repeat containing 1 (XIRP1),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-2.06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Major Histocompatibility Complex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, class II, DR </w:t>
            </w:r>
            <w:r w:rsidR="004258FA" w:rsidRPr="005E4F7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lpha (HLA-DRA),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-2.07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CD74 molecule, major histocompatibility complex, class II invariant chain (CD74),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CD74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CD74 molecule, major histocompatibility complex, class II invariant chain (CD74), transcript variant 2,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TNFSF10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-2.10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7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Tumor Necrosis Factor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(ligand) superfamily, member 10 (TNFSF10),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HAS3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-2.10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C71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Hyaluronan Synthase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3 (HAS3),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LOC730415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hypothetical LOC730415, transcript variant 2 (LOC730415),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A2M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-2.12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FB6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Alpha-2-Macroglobulin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(A2M),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IGFBP5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-2.15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</w:t>
            </w:r>
            <w:r w:rsidRPr="00B37F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4BD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Insulin-Like Growth Factor Binding Protein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5 (IGFBP5),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EBF" w:rsidRPr="005E4F76">
              <w:rPr>
                <w:rFonts w:ascii="Times New Roman" w:hAnsi="Times New Roman" w:cs="Times New Roman"/>
                <w:sz w:val="20"/>
                <w:szCs w:val="20"/>
              </w:rPr>
              <w:t>Major Histocompatibility Complex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, class II, DR alpha (HLA-DRA),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CX3CL1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-2.28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EBF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hemokine (C-X3-C motif) ligand 1 (CX3CL1),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HLA-DRB1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-2.28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EBF" w:rsidRPr="005E4F76">
              <w:rPr>
                <w:rFonts w:ascii="Times New Roman" w:hAnsi="Times New Roman" w:cs="Times New Roman"/>
                <w:sz w:val="20"/>
                <w:szCs w:val="20"/>
              </w:rPr>
              <w:t>Major Histocompatibility Complex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, class II, DR beta 1 (HLA-DRB1),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CCL5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-2.32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D8" w:rsidRPr="005E4F7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hemokine (C-C motif) ligand 5 (CCL5),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PEG10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PREDICTED: </w:t>
            </w:r>
            <w:r w:rsidR="00B37F44"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D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Paternally Expressed </w:t>
            </w: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10 (PEG10),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-2.35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D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Vascular Cell Adhesion Molecule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(VCAM1),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-2.51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D8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Vascular Cell Adhesion Molecule 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1 (VCAM1), transcript variant 1, mRNA.</w:t>
            </w:r>
          </w:p>
        </w:tc>
      </w:tr>
      <w:tr w:rsidR="001631E4" w:rsidRPr="005E4F76" w:rsidTr="00CF77A6">
        <w:trPr>
          <w:trHeight w:val="300"/>
        </w:trPr>
        <w:tc>
          <w:tcPr>
            <w:tcW w:w="1515" w:type="dxa"/>
            <w:noWrap/>
            <w:hideMark/>
          </w:tcPr>
          <w:p w:rsidR="001631E4" w:rsidRPr="005E4F76" w:rsidRDefault="001631E4" w:rsidP="00914F9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METTL7A</w:t>
            </w:r>
          </w:p>
        </w:tc>
        <w:tc>
          <w:tcPr>
            <w:tcW w:w="1549" w:type="dxa"/>
            <w:noWrap/>
            <w:hideMark/>
          </w:tcPr>
          <w:p w:rsidR="001631E4" w:rsidRPr="005E4F76" w:rsidRDefault="001631E4" w:rsidP="00164E4E">
            <w:pPr>
              <w:tabs>
                <w:tab w:val="left" w:pos="87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76">
              <w:rPr>
                <w:rFonts w:ascii="Times New Roman" w:hAnsi="Times New Roman" w:cs="Times New Roman"/>
                <w:sz w:val="20"/>
                <w:szCs w:val="20"/>
              </w:rPr>
              <w:t>-3.12</w:t>
            </w:r>
          </w:p>
        </w:tc>
        <w:tc>
          <w:tcPr>
            <w:tcW w:w="6179" w:type="dxa"/>
            <w:noWrap/>
            <w:hideMark/>
          </w:tcPr>
          <w:p w:rsidR="001631E4" w:rsidRPr="005E4F76" w:rsidRDefault="00B37F44" w:rsidP="00164E4E">
            <w:pPr>
              <w:tabs>
                <w:tab w:val="left" w:pos="87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A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Homo sapiens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DD8" w:rsidRPr="005E4F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631E4" w:rsidRPr="005E4F76">
              <w:rPr>
                <w:rFonts w:ascii="Times New Roman" w:hAnsi="Times New Roman" w:cs="Times New Roman"/>
                <w:sz w:val="20"/>
                <w:szCs w:val="20"/>
              </w:rPr>
              <w:t>ethyltransferase like 7A (METTL7A), mRNA.</w:t>
            </w:r>
          </w:p>
        </w:tc>
      </w:tr>
    </w:tbl>
    <w:p w:rsidR="00916350" w:rsidRDefault="00916350" w:rsidP="00916350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350" w:rsidRPr="005E4F76" w:rsidRDefault="00916350" w:rsidP="00916350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50"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E4F76">
        <w:rPr>
          <w:rFonts w:ascii="Times New Roman" w:hAnsi="Times New Roman" w:cs="Times New Roman"/>
          <w:sz w:val="20"/>
          <w:szCs w:val="20"/>
        </w:rPr>
        <w:t xml:space="preserve"> The 200 genes most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4F76">
        <w:rPr>
          <w:rFonts w:ascii="Times New Roman" w:hAnsi="Times New Roman" w:cs="Times New Roman"/>
          <w:sz w:val="20"/>
          <w:szCs w:val="20"/>
        </w:rPr>
        <w:t xml:space="preserve">modulated by spearmint essential oil (SEO, 0.011% v/v) (in </w:t>
      </w:r>
      <w:r w:rsidRPr="00916350">
        <w:rPr>
          <w:rFonts w:ascii="Times New Roman" w:hAnsi="Times New Roman" w:cs="Times New Roman"/>
          <w:color w:val="FF0000"/>
          <w:sz w:val="20"/>
          <w:szCs w:val="20"/>
        </w:rPr>
        <w:t>log</w:t>
      </w:r>
      <w:r w:rsidRPr="00916350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 xml:space="preserve">2 </w:t>
      </w:r>
      <w:r w:rsidRPr="00916350">
        <w:rPr>
          <w:rFonts w:ascii="Times New Roman" w:hAnsi="Times New Roman" w:cs="Times New Roman"/>
          <w:color w:val="FF0000"/>
          <w:sz w:val="20"/>
          <w:szCs w:val="20"/>
        </w:rPr>
        <w:t>r</w:t>
      </w:r>
      <w:r w:rsidRPr="005E4F76">
        <w:rPr>
          <w:rFonts w:ascii="Times New Roman" w:hAnsi="Times New Roman" w:cs="Times New Roman"/>
          <w:sz w:val="20"/>
          <w:szCs w:val="20"/>
        </w:rPr>
        <w:t>elative ratio form)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B45AA" w:rsidRDefault="002B45AA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350" w:rsidRDefault="00916350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1E4" w:rsidRPr="005E4F76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6240780"/>
            <wp:effectExtent l="0" t="0" r="0" b="762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39" w:rsidRPr="005E4F76" w:rsidRDefault="00B46C39" w:rsidP="00B46C39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C39" w:rsidRPr="005E4F76" w:rsidRDefault="00B46C39" w:rsidP="00B46C39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C39">
        <w:rPr>
          <w:rFonts w:ascii="Times New Roman" w:hAnsi="Times New Roman" w:cs="Times New Roman"/>
          <w:b/>
          <w:sz w:val="20"/>
          <w:szCs w:val="20"/>
        </w:rPr>
        <w:t>Table 3:</w:t>
      </w:r>
      <w:r w:rsidRPr="005E4F76">
        <w:rPr>
          <w:rFonts w:ascii="Times New Roman" w:hAnsi="Times New Roman" w:cs="Times New Roman"/>
          <w:sz w:val="20"/>
          <w:szCs w:val="20"/>
        </w:rPr>
        <w:t xml:space="preserve"> Top 20 genes regulated by spearmint essential oil (SEO, 0.011% v/v) in the canonical hepatic fibrosis/hepatic st</w:t>
      </w:r>
      <w:r w:rsidR="004712A3">
        <w:rPr>
          <w:rFonts w:ascii="Times New Roman" w:hAnsi="Times New Roman" w:cs="Times New Roman"/>
          <w:sz w:val="20"/>
          <w:szCs w:val="20"/>
        </w:rPr>
        <w:t xml:space="preserve">ellate cell activation pathway. </w:t>
      </w:r>
      <w:r w:rsidRPr="005E4F76">
        <w:rPr>
          <w:rFonts w:ascii="Times New Roman" w:hAnsi="Times New Roman" w:cs="Times New Roman"/>
          <w:sz w:val="20"/>
          <w:szCs w:val="20"/>
        </w:rPr>
        <w:t>Fold change over vehicle was shown in l</w:t>
      </w:r>
      <w:r w:rsidRPr="004712A3">
        <w:rPr>
          <w:rFonts w:ascii="Times New Roman" w:hAnsi="Times New Roman" w:cs="Times New Roman"/>
          <w:color w:val="FF0000"/>
          <w:sz w:val="20"/>
          <w:szCs w:val="20"/>
        </w:rPr>
        <w:t>og</w:t>
      </w:r>
      <w:r w:rsidRPr="004712A3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2</w:t>
      </w:r>
      <w:r w:rsidR="004712A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5E4F76">
        <w:rPr>
          <w:rFonts w:ascii="Times New Roman" w:hAnsi="Times New Roman" w:cs="Times New Roman"/>
          <w:sz w:val="20"/>
          <w:szCs w:val="20"/>
        </w:rPr>
        <w:t>ratio form.</w:t>
      </w:r>
    </w:p>
    <w:p w:rsidR="001631E4" w:rsidRPr="005E4F76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sz w:val="20"/>
          <w:szCs w:val="20"/>
        </w:rPr>
        <w:br w:type="page"/>
      </w:r>
    </w:p>
    <w:p w:rsidR="001631E4" w:rsidRPr="005E4F76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E4F7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4912995"/>
            <wp:effectExtent l="0" t="0" r="0" b="190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4" w:rsidRDefault="00B67B4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1E4" w:rsidRDefault="009C2E06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06">
        <w:rPr>
          <w:rFonts w:ascii="Times New Roman" w:hAnsi="Times New Roman" w:cs="Times New Roman"/>
          <w:b/>
          <w:sz w:val="20"/>
          <w:szCs w:val="20"/>
        </w:rPr>
        <w:t xml:space="preserve">Table 4: </w:t>
      </w:r>
      <w:r w:rsidRPr="005E4F76">
        <w:rPr>
          <w:rFonts w:ascii="Times New Roman" w:hAnsi="Times New Roman" w:cs="Times New Roman"/>
          <w:sz w:val="20"/>
          <w:szCs w:val="20"/>
        </w:rPr>
        <w:t xml:space="preserve">Top 15 genes regulated by spearmint essential oil (SEO, 0.011% v/v) in the canonical antigen presentation pathway. Fold change over vehicle was shown in </w:t>
      </w:r>
      <w:r w:rsidRPr="009C2E06">
        <w:rPr>
          <w:rFonts w:ascii="Times New Roman" w:hAnsi="Times New Roman" w:cs="Times New Roman"/>
          <w:color w:val="FF0000"/>
          <w:sz w:val="20"/>
          <w:szCs w:val="20"/>
        </w:rPr>
        <w:t>log</w:t>
      </w:r>
      <w:r w:rsidRPr="009C2E06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 xml:space="preserve">2 </w:t>
      </w:r>
      <w:r w:rsidRPr="005E4F76">
        <w:rPr>
          <w:rFonts w:ascii="Times New Roman" w:hAnsi="Times New Roman" w:cs="Times New Roman"/>
          <w:sz w:val="20"/>
          <w:szCs w:val="20"/>
        </w:rPr>
        <w:t>ratio form.</w:t>
      </w:r>
    </w:p>
    <w:p w:rsidR="009C2E06" w:rsidRDefault="009C2E06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06" w:rsidRDefault="009C2E06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67B44" w:rsidRDefault="00B67B4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67B44" w:rsidRDefault="00B67B4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67B44" w:rsidRPr="005E4F76" w:rsidRDefault="00B67B4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631E4" w:rsidRPr="00D56FC3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F7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090586" cy="4762500"/>
            <wp:effectExtent l="19050" t="0" r="5414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0586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C3" w:rsidRDefault="00D56FC3" w:rsidP="00B67B44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B44" w:rsidRPr="005E4F76" w:rsidRDefault="00D56FC3" w:rsidP="00B67B44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FC3">
        <w:rPr>
          <w:rFonts w:ascii="Times New Roman" w:hAnsi="Times New Roman" w:cs="Times New Roman"/>
          <w:b/>
          <w:sz w:val="20"/>
          <w:szCs w:val="20"/>
        </w:rPr>
        <w:t>Table 5:</w:t>
      </w:r>
      <w:r w:rsidR="00B67B44" w:rsidRPr="005E4F76">
        <w:rPr>
          <w:rFonts w:ascii="Times New Roman" w:hAnsi="Times New Roman" w:cs="Times New Roman"/>
          <w:sz w:val="20"/>
          <w:szCs w:val="20"/>
        </w:rPr>
        <w:t xml:space="preserve"> Top 15 genes regulated by spearmint essential oil (SEO, 0.011% v/v) in the canonical graft-versus-host disease signaling pathway. Fold change over vehicle was shown in l</w:t>
      </w:r>
      <w:r w:rsidR="00B67B44" w:rsidRPr="00B055B2">
        <w:rPr>
          <w:rFonts w:ascii="Times New Roman" w:hAnsi="Times New Roman" w:cs="Times New Roman"/>
          <w:color w:val="FF0000"/>
          <w:sz w:val="20"/>
          <w:szCs w:val="20"/>
        </w:rPr>
        <w:t>og</w:t>
      </w:r>
      <w:r w:rsidR="00B67B44" w:rsidRPr="00B055B2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2</w:t>
      </w:r>
      <w:r w:rsidR="00B055B2" w:rsidRPr="00B055B2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 xml:space="preserve"> </w:t>
      </w:r>
      <w:r w:rsidR="00B67B44" w:rsidRPr="005E4F76">
        <w:rPr>
          <w:rFonts w:ascii="Times New Roman" w:hAnsi="Times New Roman" w:cs="Times New Roman"/>
          <w:sz w:val="20"/>
          <w:szCs w:val="20"/>
        </w:rPr>
        <w:t>ratio form.</w:t>
      </w:r>
    </w:p>
    <w:p w:rsidR="001631E4" w:rsidRPr="005E4F76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sz w:val="20"/>
          <w:szCs w:val="20"/>
        </w:rPr>
        <w:br w:type="page"/>
      </w:r>
    </w:p>
    <w:p w:rsidR="001631E4" w:rsidRPr="005E4F76" w:rsidRDefault="001631E4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F7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444182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A5" w:rsidRDefault="003A5FA5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466" w:rsidRPr="005E4F76" w:rsidRDefault="003A5FA5" w:rsidP="005E4F76">
      <w:pPr>
        <w:tabs>
          <w:tab w:val="left" w:pos="8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FA5">
        <w:rPr>
          <w:rFonts w:ascii="Times New Roman" w:hAnsi="Times New Roman" w:cs="Times New Roman"/>
          <w:b/>
          <w:sz w:val="20"/>
          <w:szCs w:val="20"/>
        </w:rPr>
        <w:t>Table 6:</w:t>
      </w:r>
      <w:r w:rsidRPr="005E4F76">
        <w:rPr>
          <w:rFonts w:ascii="Times New Roman" w:hAnsi="Times New Roman" w:cs="Times New Roman"/>
          <w:sz w:val="20"/>
          <w:szCs w:val="20"/>
        </w:rPr>
        <w:t xml:space="preserve"> Top 14 genes regulated by spearmint essential oil (SEO, 0.011% v/v) in the canonical allograft rejection signaling pathway. Fold change over vehicle was shown in l</w:t>
      </w:r>
      <w:r w:rsidRPr="00BB5E36">
        <w:rPr>
          <w:rFonts w:ascii="Times New Roman" w:hAnsi="Times New Roman" w:cs="Times New Roman"/>
          <w:color w:val="FF0000"/>
          <w:sz w:val="20"/>
          <w:szCs w:val="20"/>
        </w:rPr>
        <w:t>og</w:t>
      </w:r>
      <w:r w:rsidRPr="00BB5E36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2</w:t>
      </w:r>
      <w:r w:rsidR="00BB5E36" w:rsidRPr="00BB5E36"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 xml:space="preserve"> </w:t>
      </w:r>
      <w:r w:rsidRPr="005E4F76">
        <w:rPr>
          <w:rFonts w:ascii="Times New Roman" w:hAnsi="Times New Roman" w:cs="Times New Roman"/>
          <w:sz w:val="20"/>
          <w:szCs w:val="20"/>
        </w:rPr>
        <w:t>ratio form.</w:t>
      </w:r>
    </w:p>
    <w:sectPr w:rsidR="00610466" w:rsidRPr="005E4F76" w:rsidSect="005E4F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E9" w:rsidRDefault="004B7EE9" w:rsidP="00961C1B">
      <w:pPr>
        <w:spacing w:after="0" w:line="240" w:lineRule="auto"/>
      </w:pPr>
      <w:r>
        <w:separator/>
      </w:r>
    </w:p>
  </w:endnote>
  <w:endnote w:type="continuationSeparator" w:id="1">
    <w:p w:rsidR="004B7EE9" w:rsidRDefault="004B7EE9" w:rsidP="009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E9" w:rsidRDefault="004B7EE9" w:rsidP="00961C1B">
      <w:pPr>
        <w:spacing w:after="0" w:line="240" w:lineRule="auto"/>
      </w:pPr>
      <w:r>
        <w:separator/>
      </w:r>
    </w:p>
  </w:footnote>
  <w:footnote w:type="continuationSeparator" w:id="1">
    <w:p w:rsidR="004B7EE9" w:rsidRDefault="004B7EE9" w:rsidP="0096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CF"/>
    <w:rsid w:val="00005027"/>
    <w:rsid w:val="00013FBB"/>
    <w:rsid w:val="00016611"/>
    <w:rsid w:val="0002709A"/>
    <w:rsid w:val="00032EF1"/>
    <w:rsid w:val="00046BC2"/>
    <w:rsid w:val="00052D6D"/>
    <w:rsid w:val="0009053A"/>
    <w:rsid w:val="000A3E48"/>
    <w:rsid w:val="000A474D"/>
    <w:rsid w:val="000C08A1"/>
    <w:rsid w:val="000D043A"/>
    <w:rsid w:val="000D4D02"/>
    <w:rsid w:val="000E0A14"/>
    <w:rsid w:val="00100457"/>
    <w:rsid w:val="00125ED5"/>
    <w:rsid w:val="0012685F"/>
    <w:rsid w:val="001544BD"/>
    <w:rsid w:val="00160D76"/>
    <w:rsid w:val="001631E4"/>
    <w:rsid w:val="00163BF7"/>
    <w:rsid w:val="00164E4E"/>
    <w:rsid w:val="0017098F"/>
    <w:rsid w:val="00175DB7"/>
    <w:rsid w:val="001777D0"/>
    <w:rsid w:val="00186C71"/>
    <w:rsid w:val="001A01F1"/>
    <w:rsid w:val="001C139A"/>
    <w:rsid w:val="001F2542"/>
    <w:rsid w:val="002004E5"/>
    <w:rsid w:val="00204FD4"/>
    <w:rsid w:val="00210380"/>
    <w:rsid w:val="00224A01"/>
    <w:rsid w:val="00226BCA"/>
    <w:rsid w:val="00234DDF"/>
    <w:rsid w:val="00251CCF"/>
    <w:rsid w:val="00254E39"/>
    <w:rsid w:val="002843DF"/>
    <w:rsid w:val="0028455D"/>
    <w:rsid w:val="00292D06"/>
    <w:rsid w:val="002A0EBE"/>
    <w:rsid w:val="002B45AA"/>
    <w:rsid w:val="002B54CF"/>
    <w:rsid w:val="002C602B"/>
    <w:rsid w:val="002E0B5C"/>
    <w:rsid w:val="002E1A39"/>
    <w:rsid w:val="002E36AA"/>
    <w:rsid w:val="003001DD"/>
    <w:rsid w:val="00302362"/>
    <w:rsid w:val="00305179"/>
    <w:rsid w:val="00305CD9"/>
    <w:rsid w:val="00324548"/>
    <w:rsid w:val="00335009"/>
    <w:rsid w:val="003355C8"/>
    <w:rsid w:val="00336CE9"/>
    <w:rsid w:val="003429C0"/>
    <w:rsid w:val="003576C2"/>
    <w:rsid w:val="00357BE5"/>
    <w:rsid w:val="00376985"/>
    <w:rsid w:val="00376F96"/>
    <w:rsid w:val="00384607"/>
    <w:rsid w:val="003A5FA5"/>
    <w:rsid w:val="003A7099"/>
    <w:rsid w:val="003C2DD8"/>
    <w:rsid w:val="003C3DCA"/>
    <w:rsid w:val="003E2B26"/>
    <w:rsid w:val="003F0AD3"/>
    <w:rsid w:val="003F0FB0"/>
    <w:rsid w:val="003F3ECC"/>
    <w:rsid w:val="00403947"/>
    <w:rsid w:val="00406C9F"/>
    <w:rsid w:val="004258FA"/>
    <w:rsid w:val="00455BDD"/>
    <w:rsid w:val="004712A3"/>
    <w:rsid w:val="00475B9B"/>
    <w:rsid w:val="0047746D"/>
    <w:rsid w:val="004846E2"/>
    <w:rsid w:val="00492395"/>
    <w:rsid w:val="004B3BAF"/>
    <w:rsid w:val="004B4B0F"/>
    <w:rsid w:val="004B7EE9"/>
    <w:rsid w:val="004C0FB4"/>
    <w:rsid w:val="004D1CD2"/>
    <w:rsid w:val="00500924"/>
    <w:rsid w:val="0050626B"/>
    <w:rsid w:val="00517F11"/>
    <w:rsid w:val="00523883"/>
    <w:rsid w:val="0053340C"/>
    <w:rsid w:val="00533F0A"/>
    <w:rsid w:val="00561F31"/>
    <w:rsid w:val="00564581"/>
    <w:rsid w:val="00565638"/>
    <w:rsid w:val="0057154D"/>
    <w:rsid w:val="005A53C6"/>
    <w:rsid w:val="005D02F4"/>
    <w:rsid w:val="005E17D5"/>
    <w:rsid w:val="005E2429"/>
    <w:rsid w:val="005E4F76"/>
    <w:rsid w:val="00607867"/>
    <w:rsid w:val="00630A08"/>
    <w:rsid w:val="00645F86"/>
    <w:rsid w:val="00655F41"/>
    <w:rsid w:val="00682F7A"/>
    <w:rsid w:val="006844E1"/>
    <w:rsid w:val="00687514"/>
    <w:rsid w:val="00690A64"/>
    <w:rsid w:val="0069340B"/>
    <w:rsid w:val="006A7533"/>
    <w:rsid w:val="006B33B2"/>
    <w:rsid w:val="006B5BDA"/>
    <w:rsid w:val="006C045B"/>
    <w:rsid w:val="006D29DC"/>
    <w:rsid w:val="006E1588"/>
    <w:rsid w:val="006E31C1"/>
    <w:rsid w:val="006E7FDE"/>
    <w:rsid w:val="00700060"/>
    <w:rsid w:val="007118E0"/>
    <w:rsid w:val="00724077"/>
    <w:rsid w:val="00732C5E"/>
    <w:rsid w:val="00750D68"/>
    <w:rsid w:val="007514A2"/>
    <w:rsid w:val="007520FB"/>
    <w:rsid w:val="007569E6"/>
    <w:rsid w:val="00774C71"/>
    <w:rsid w:val="00787712"/>
    <w:rsid w:val="007B4FB6"/>
    <w:rsid w:val="007C0A0E"/>
    <w:rsid w:val="00816718"/>
    <w:rsid w:val="00824997"/>
    <w:rsid w:val="008334C8"/>
    <w:rsid w:val="008407C4"/>
    <w:rsid w:val="00847694"/>
    <w:rsid w:val="00874DA5"/>
    <w:rsid w:val="008929C0"/>
    <w:rsid w:val="00896659"/>
    <w:rsid w:val="00914F9E"/>
    <w:rsid w:val="00916350"/>
    <w:rsid w:val="00917192"/>
    <w:rsid w:val="00924BDC"/>
    <w:rsid w:val="00933235"/>
    <w:rsid w:val="00944B81"/>
    <w:rsid w:val="00951B44"/>
    <w:rsid w:val="00961C1B"/>
    <w:rsid w:val="009724C8"/>
    <w:rsid w:val="0097731F"/>
    <w:rsid w:val="00992B1F"/>
    <w:rsid w:val="009956BD"/>
    <w:rsid w:val="009A360F"/>
    <w:rsid w:val="009B26FA"/>
    <w:rsid w:val="009C2E06"/>
    <w:rsid w:val="009D058A"/>
    <w:rsid w:val="009D1799"/>
    <w:rsid w:val="009E19C1"/>
    <w:rsid w:val="00A15578"/>
    <w:rsid w:val="00A43B7D"/>
    <w:rsid w:val="00A461DA"/>
    <w:rsid w:val="00A462EE"/>
    <w:rsid w:val="00A5424B"/>
    <w:rsid w:val="00A87B44"/>
    <w:rsid w:val="00A917EF"/>
    <w:rsid w:val="00A947E6"/>
    <w:rsid w:val="00A96D54"/>
    <w:rsid w:val="00AB5F70"/>
    <w:rsid w:val="00AB70D5"/>
    <w:rsid w:val="00AC49A0"/>
    <w:rsid w:val="00AD3DA8"/>
    <w:rsid w:val="00AE1E8B"/>
    <w:rsid w:val="00AE4044"/>
    <w:rsid w:val="00AF2D29"/>
    <w:rsid w:val="00B055B2"/>
    <w:rsid w:val="00B131BA"/>
    <w:rsid w:val="00B21DDF"/>
    <w:rsid w:val="00B22EBF"/>
    <w:rsid w:val="00B33FD4"/>
    <w:rsid w:val="00B37F44"/>
    <w:rsid w:val="00B46C39"/>
    <w:rsid w:val="00B50778"/>
    <w:rsid w:val="00B55ACD"/>
    <w:rsid w:val="00B643BB"/>
    <w:rsid w:val="00B64B9A"/>
    <w:rsid w:val="00B67B44"/>
    <w:rsid w:val="00B74E78"/>
    <w:rsid w:val="00B7593A"/>
    <w:rsid w:val="00B76943"/>
    <w:rsid w:val="00BA0267"/>
    <w:rsid w:val="00BB1291"/>
    <w:rsid w:val="00BB5E36"/>
    <w:rsid w:val="00BC2EE4"/>
    <w:rsid w:val="00BC7CE9"/>
    <w:rsid w:val="00BE13BE"/>
    <w:rsid w:val="00C0603D"/>
    <w:rsid w:val="00C202E0"/>
    <w:rsid w:val="00C205FC"/>
    <w:rsid w:val="00C2583C"/>
    <w:rsid w:val="00C60F00"/>
    <w:rsid w:val="00CA3832"/>
    <w:rsid w:val="00CC6802"/>
    <w:rsid w:val="00CD4A96"/>
    <w:rsid w:val="00CE1F77"/>
    <w:rsid w:val="00CE66CA"/>
    <w:rsid w:val="00CE71C7"/>
    <w:rsid w:val="00CF023C"/>
    <w:rsid w:val="00CF3E05"/>
    <w:rsid w:val="00CF77A6"/>
    <w:rsid w:val="00D04F4F"/>
    <w:rsid w:val="00D231C1"/>
    <w:rsid w:val="00D249D4"/>
    <w:rsid w:val="00D26AC5"/>
    <w:rsid w:val="00D334F5"/>
    <w:rsid w:val="00D33B20"/>
    <w:rsid w:val="00D4051F"/>
    <w:rsid w:val="00D40CF9"/>
    <w:rsid w:val="00D43918"/>
    <w:rsid w:val="00D56FC3"/>
    <w:rsid w:val="00D7067B"/>
    <w:rsid w:val="00D7187E"/>
    <w:rsid w:val="00DB6697"/>
    <w:rsid w:val="00DB7758"/>
    <w:rsid w:val="00DC06B8"/>
    <w:rsid w:val="00DD7CAC"/>
    <w:rsid w:val="00DE0F06"/>
    <w:rsid w:val="00DE4D84"/>
    <w:rsid w:val="00DE6987"/>
    <w:rsid w:val="00DF2A97"/>
    <w:rsid w:val="00E20954"/>
    <w:rsid w:val="00E25E36"/>
    <w:rsid w:val="00E26A1B"/>
    <w:rsid w:val="00E31088"/>
    <w:rsid w:val="00E36678"/>
    <w:rsid w:val="00E36934"/>
    <w:rsid w:val="00E634BB"/>
    <w:rsid w:val="00E75B21"/>
    <w:rsid w:val="00E75BD6"/>
    <w:rsid w:val="00E86608"/>
    <w:rsid w:val="00E9558D"/>
    <w:rsid w:val="00E9786F"/>
    <w:rsid w:val="00EB1F27"/>
    <w:rsid w:val="00EC605E"/>
    <w:rsid w:val="00ED057A"/>
    <w:rsid w:val="00ED0730"/>
    <w:rsid w:val="00EE3924"/>
    <w:rsid w:val="00F10B5D"/>
    <w:rsid w:val="00F22768"/>
    <w:rsid w:val="00F6180C"/>
    <w:rsid w:val="00F775A9"/>
    <w:rsid w:val="00F80EF9"/>
    <w:rsid w:val="00F96305"/>
    <w:rsid w:val="00FA5720"/>
    <w:rsid w:val="00FB26BF"/>
    <w:rsid w:val="00FD351E"/>
    <w:rsid w:val="00FD3A77"/>
    <w:rsid w:val="00FE1A4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C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6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C1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C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0666-4DED-4E55-8D1F-9CE7BC0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3411</Words>
  <Characters>19445</Characters>
  <Application>Microsoft Office Word</Application>
  <DocSecurity>0</DocSecurity>
  <Lines>162</Lines>
  <Paragraphs>45</Paragraphs>
  <ScaleCrop>false</ScaleCrop>
  <Company>doTERRA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Lawry</dc:creator>
  <cp:keywords/>
  <dc:description/>
  <cp:lastModifiedBy>DELL</cp:lastModifiedBy>
  <cp:revision>274</cp:revision>
  <dcterms:created xsi:type="dcterms:W3CDTF">2016-12-01T20:28:00Z</dcterms:created>
  <dcterms:modified xsi:type="dcterms:W3CDTF">2017-07-28T01:17:00Z</dcterms:modified>
</cp:coreProperties>
</file>